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2198" w14:textId="0D01046F" w:rsidR="003E0FA3" w:rsidRDefault="00276537"/>
    <w:p w14:paraId="7B13D436" w14:textId="42C11D2B" w:rsidR="00757DF5" w:rsidRDefault="00757DF5"/>
    <w:p w14:paraId="0588D6B6" w14:textId="2E7D64A8" w:rsidR="00757DF5" w:rsidRDefault="00085320" w:rsidP="00085320">
      <w:pPr>
        <w:jc w:val="center"/>
        <w:rPr>
          <w:rFonts w:ascii="Arial" w:hAnsi="Arial" w:cs="Arial"/>
          <w:u w:val="single"/>
        </w:rPr>
      </w:pPr>
      <w:r w:rsidRPr="00085320">
        <w:rPr>
          <w:rFonts w:ascii="Arial" w:hAnsi="Arial" w:cs="Arial"/>
          <w:u w:val="single"/>
        </w:rPr>
        <w:t xml:space="preserve">Nikola Daniels CV </w:t>
      </w:r>
      <w:proofErr w:type="spellStart"/>
      <w:r w:rsidRPr="00085320">
        <w:rPr>
          <w:rFonts w:ascii="Arial" w:hAnsi="Arial" w:cs="Arial"/>
          <w:u w:val="single"/>
        </w:rPr>
        <w:t>Maisel</w:t>
      </w:r>
      <w:r w:rsidR="00FA2BC5">
        <w:rPr>
          <w:rFonts w:ascii="Arial" w:hAnsi="Arial" w:cs="Arial"/>
          <w:u w:val="single"/>
        </w:rPr>
        <w:t>s</w:t>
      </w:r>
      <w:proofErr w:type="spellEnd"/>
      <w:r w:rsidRPr="00085320">
        <w:rPr>
          <w:rFonts w:ascii="Arial" w:hAnsi="Arial" w:cs="Arial"/>
          <w:u w:val="single"/>
        </w:rPr>
        <w:t xml:space="preserve"> website</w:t>
      </w:r>
    </w:p>
    <w:p w14:paraId="6DCDDFC2" w14:textId="072E3A86" w:rsidR="00085320" w:rsidRDefault="00085320" w:rsidP="00085320">
      <w:pPr>
        <w:spacing w:line="480" w:lineRule="auto"/>
        <w:jc w:val="both"/>
        <w:rPr>
          <w:rFonts w:ascii="Arial" w:hAnsi="Arial" w:cs="Arial"/>
          <w:u w:val="single"/>
        </w:rPr>
      </w:pPr>
    </w:p>
    <w:p w14:paraId="4AB43F7F" w14:textId="23597942" w:rsidR="00FA2BC5" w:rsidRDefault="00FA2BC5" w:rsidP="00085320">
      <w:pPr>
        <w:spacing w:line="48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Year of Call</w:t>
      </w:r>
    </w:p>
    <w:p w14:paraId="6BF07F98" w14:textId="2C9D160A" w:rsidR="00FA2BC5" w:rsidRPr="003722EE" w:rsidRDefault="00FA2BC5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FA2BC5">
        <w:rPr>
          <w:rFonts w:ascii="Arial" w:hAnsi="Arial" w:cs="Arial"/>
          <w:color w:val="000000" w:themeColor="text1"/>
        </w:rPr>
        <w:t>2016</w:t>
      </w:r>
    </w:p>
    <w:p w14:paraId="131365ED" w14:textId="7FF4C32D" w:rsidR="002E1935" w:rsidRDefault="002E1935" w:rsidP="00085320">
      <w:pPr>
        <w:spacing w:line="48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Qualifications</w:t>
      </w:r>
    </w:p>
    <w:p w14:paraId="29EA4F57" w14:textId="58E2FC12" w:rsidR="00AB088F" w:rsidRDefault="00AB088F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FA2BC5">
        <w:rPr>
          <w:rFonts w:ascii="Arial" w:hAnsi="Arial" w:cs="Arial"/>
          <w:color w:val="000000" w:themeColor="text1"/>
        </w:rPr>
        <w:t xml:space="preserve">ertificate </w:t>
      </w:r>
      <w:r>
        <w:rPr>
          <w:rFonts w:ascii="Arial" w:hAnsi="Arial" w:cs="Arial"/>
          <w:color w:val="000000" w:themeColor="text1"/>
        </w:rPr>
        <w:t>o</w:t>
      </w:r>
      <w:r w:rsidR="00FA2BC5">
        <w:rPr>
          <w:rFonts w:ascii="Arial" w:hAnsi="Arial" w:cs="Arial"/>
          <w:color w:val="000000" w:themeColor="text1"/>
        </w:rPr>
        <w:t>n ICC Rules of Arbitration || Paris (in progress)</w:t>
      </w:r>
    </w:p>
    <w:p w14:paraId="58D5342E" w14:textId="59F25A11" w:rsidR="00FA2BC5" w:rsidRDefault="00FA2BC5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Certificate in Private International Law (The Hague</w:t>
      </w:r>
      <w:r w:rsidR="00D67E6C">
        <w:rPr>
          <w:rFonts w:ascii="Arial" w:hAnsi="Arial" w:cs="Arial"/>
          <w:color w:val="000000" w:themeColor="text1"/>
        </w:rPr>
        <w:t xml:space="preserve"> Academy</w:t>
      </w:r>
      <w:r>
        <w:rPr>
          <w:rFonts w:ascii="Arial" w:hAnsi="Arial" w:cs="Arial"/>
          <w:color w:val="000000" w:themeColor="text1"/>
        </w:rPr>
        <w:t xml:space="preserve"> || Netherlands)</w:t>
      </w:r>
    </w:p>
    <w:p w14:paraId="3F1AF395" w14:textId="2FEECD22" w:rsidR="002E1935" w:rsidRDefault="00710EA8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LLM</w:t>
      </w:r>
      <w:r w:rsidR="00D67E6C">
        <w:rPr>
          <w:rFonts w:ascii="Arial" w:hAnsi="Arial" w:cs="Arial"/>
          <w:color w:val="000000" w:themeColor="text1"/>
        </w:rPr>
        <w:t xml:space="preserve"> (</w:t>
      </w:r>
      <w:r w:rsidR="00FA2BC5">
        <w:rPr>
          <w:rFonts w:ascii="Arial" w:hAnsi="Arial" w:cs="Arial"/>
          <w:color w:val="000000" w:themeColor="text1"/>
        </w:rPr>
        <w:t>Telecommunication, Media, Broadcasting and Space Law</w:t>
      </w:r>
      <w:r w:rsidR="00D67E6C">
        <w:rPr>
          <w:rFonts w:ascii="Arial" w:hAnsi="Arial" w:cs="Arial"/>
          <w:color w:val="000000" w:themeColor="text1"/>
        </w:rPr>
        <w:t>-</w:t>
      </w:r>
      <w:r w:rsidR="00FA2BC5">
        <w:rPr>
          <w:rFonts w:ascii="Arial" w:hAnsi="Arial" w:cs="Arial"/>
          <w:color w:val="000000" w:themeColor="text1"/>
        </w:rPr>
        <w:t xml:space="preserve"> University of the Witwatersrand)</w:t>
      </w:r>
    </w:p>
    <w:p w14:paraId="5072E83F" w14:textId="66FA88C6" w:rsidR="00FA2BC5" w:rsidRDefault="00FA2BC5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LLB (University of Johannesburg)</w:t>
      </w:r>
    </w:p>
    <w:p w14:paraId="4990D698" w14:textId="41763157" w:rsidR="00FA2BC5" w:rsidRPr="00D67E6C" w:rsidRDefault="002E1935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2E1935">
        <w:rPr>
          <w:rFonts w:ascii="Arial" w:hAnsi="Arial" w:cs="Arial"/>
          <w:color w:val="000000" w:themeColor="text1"/>
        </w:rPr>
        <w:t xml:space="preserve">BA </w:t>
      </w:r>
      <w:r w:rsidR="00FA2BC5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University of Stellenbosch</w:t>
      </w:r>
      <w:r w:rsidR="00FA2BC5">
        <w:rPr>
          <w:rFonts w:ascii="Arial" w:hAnsi="Arial" w:cs="Arial"/>
          <w:color w:val="000000" w:themeColor="text1"/>
        </w:rPr>
        <w:t>)</w:t>
      </w:r>
    </w:p>
    <w:p w14:paraId="1C714A8E" w14:textId="5DCE2B16" w:rsidR="00FA2BC5" w:rsidRDefault="00FA2BC5" w:rsidP="00085320">
      <w:pPr>
        <w:spacing w:line="48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Areas of Practice</w:t>
      </w:r>
    </w:p>
    <w:p w14:paraId="4957C07C" w14:textId="78616DC0" w:rsidR="00FA2BC5" w:rsidRDefault="00412F53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General Commercial litigation focusing</w:t>
      </w:r>
      <w:r w:rsidR="00D67E6C">
        <w:rPr>
          <w:rFonts w:ascii="Arial" w:hAnsi="Arial" w:cs="Arial"/>
          <w:color w:val="000000" w:themeColor="text1"/>
        </w:rPr>
        <w:t xml:space="preserve"> on </w:t>
      </w:r>
      <w:r>
        <w:rPr>
          <w:rFonts w:ascii="Arial" w:hAnsi="Arial" w:cs="Arial"/>
          <w:color w:val="000000" w:themeColor="text1"/>
        </w:rPr>
        <w:t>:</w:t>
      </w:r>
    </w:p>
    <w:p w14:paraId="26B7F0D8" w14:textId="66B066C4" w:rsidR="00EE4DDC" w:rsidRDefault="00EE4DDC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EE4DDC">
        <w:rPr>
          <w:rFonts w:ascii="Arial" w:hAnsi="Arial" w:cs="Arial"/>
          <w:color w:val="000000" w:themeColor="text1"/>
        </w:rPr>
        <w:t>Company Law</w:t>
      </w:r>
    </w:p>
    <w:p w14:paraId="18634ACB" w14:textId="45D42A60" w:rsidR="00EE4DDC" w:rsidRDefault="00EE4DDC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Contract Law</w:t>
      </w:r>
    </w:p>
    <w:p w14:paraId="776A81A2" w14:textId="5DBF473E" w:rsidR="00EE4DDC" w:rsidRDefault="00EE4DDC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Liquidations</w:t>
      </w:r>
    </w:p>
    <w:p w14:paraId="3A0613AF" w14:textId="70734C37" w:rsidR="00EE4DDC" w:rsidRPr="00D67E6C" w:rsidRDefault="00EE4DDC" w:rsidP="00D67E6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Business Rescue</w:t>
      </w:r>
    </w:p>
    <w:p w14:paraId="615661F7" w14:textId="7A57020C" w:rsidR="00EE4DDC" w:rsidRDefault="00EE4DDC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Construction Law</w:t>
      </w:r>
    </w:p>
    <w:p w14:paraId="789576F4" w14:textId="2F8F8EB3" w:rsidR="00412F53" w:rsidRP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Law of Landlord and Tenant</w:t>
      </w:r>
    </w:p>
    <w:p w14:paraId="34BECF09" w14:textId="47B20D71" w:rsidR="00412F53" w:rsidRDefault="00412F53" w:rsidP="00412F53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Other areas of Practice</w:t>
      </w:r>
    </w:p>
    <w:p w14:paraId="14BA947A" w14:textId="4F657AE1" w:rsid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Administration Law</w:t>
      </w:r>
    </w:p>
    <w:p w14:paraId="0327F5B7" w14:textId="033BA17F" w:rsid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Labour law</w:t>
      </w:r>
    </w:p>
    <w:p w14:paraId="74A6381A" w14:textId="19AAA6E5" w:rsid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Delictual</w:t>
      </w:r>
      <w:proofErr w:type="spellEnd"/>
      <w:r>
        <w:rPr>
          <w:rFonts w:ascii="Arial" w:hAnsi="Arial" w:cs="Arial"/>
          <w:color w:val="000000" w:themeColor="text1"/>
        </w:rPr>
        <w:t xml:space="preserve"> Law</w:t>
      </w:r>
    </w:p>
    <w:p w14:paraId="42D15D88" w14:textId="02D2E1AB" w:rsid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Refugee Law</w:t>
      </w:r>
    </w:p>
    <w:p w14:paraId="24DDF9E7" w14:textId="37C1D6D9" w:rsidR="00412F53" w:rsidRP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Arbitration </w:t>
      </w:r>
    </w:p>
    <w:p w14:paraId="0BC45A0E" w14:textId="78FD8B96" w:rsidR="00EE4DDC" w:rsidRPr="00412F53" w:rsidRDefault="00412F53" w:rsidP="00412F53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Mediation</w:t>
      </w:r>
      <w:r w:rsidR="00EE4DDC">
        <w:rPr>
          <w:rFonts w:ascii="Arial" w:hAnsi="Arial" w:cs="Arial"/>
          <w:color w:val="000000" w:themeColor="text1"/>
        </w:rPr>
        <w:t xml:space="preserve"> </w:t>
      </w:r>
    </w:p>
    <w:p w14:paraId="121BB379" w14:textId="77777777" w:rsidR="00EE4DDC" w:rsidRPr="00EE4DDC" w:rsidRDefault="00EE4DDC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1387E4CC" w14:textId="5485649A" w:rsidR="00085320" w:rsidRDefault="00085320" w:rsidP="00085320">
      <w:pPr>
        <w:spacing w:line="48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Brief Curriculum Vitae</w:t>
      </w:r>
    </w:p>
    <w:p w14:paraId="010B676B" w14:textId="2955B739" w:rsidR="002E1935" w:rsidRDefault="008D457F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Daniels</w:t>
      </w:r>
      <w:r w:rsidR="00085320">
        <w:rPr>
          <w:rFonts w:ascii="Arial" w:hAnsi="Arial" w:cs="Arial"/>
          <w:color w:val="000000" w:themeColor="text1"/>
        </w:rPr>
        <w:t xml:space="preserve"> was called to the bar in 2016. </w:t>
      </w:r>
      <w:r w:rsidR="00347C1F">
        <w:rPr>
          <w:rFonts w:ascii="Arial" w:hAnsi="Arial" w:cs="Arial"/>
          <w:color w:val="000000" w:themeColor="text1"/>
        </w:rPr>
        <w:t>Daniels</w:t>
      </w:r>
      <w:r w:rsidR="00085320">
        <w:rPr>
          <w:rFonts w:ascii="Arial" w:hAnsi="Arial" w:cs="Arial"/>
          <w:color w:val="000000" w:themeColor="text1"/>
        </w:rPr>
        <w:t xml:space="preserve"> completed her pupillage in 2016 at Group 621. In 2019 </w:t>
      </w:r>
      <w:r w:rsidR="00347C1F">
        <w:rPr>
          <w:rFonts w:ascii="Arial" w:hAnsi="Arial" w:cs="Arial"/>
          <w:color w:val="000000" w:themeColor="text1"/>
        </w:rPr>
        <w:t>Daniels</w:t>
      </w:r>
      <w:r w:rsidR="00085320">
        <w:rPr>
          <w:rFonts w:ascii="Arial" w:hAnsi="Arial" w:cs="Arial"/>
          <w:color w:val="000000" w:themeColor="text1"/>
        </w:rPr>
        <w:t xml:space="preserve"> joined </w:t>
      </w:r>
      <w:r>
        <w:rPr>
          <w:rFonts w:ascii="Arial" w:hAnsi="Arial" w:cs="Arial"/>
          <w:color w:val="000000" w:themeColor="text1"/>
        </w:rPr>
        <w:t>T</w:t>
      </w:r>
      <w:r w:rsidR="00085320">
        <w:rPr>
          <w:rFonts w:ascii="Arial" w:hAnsi="Arial" w:cs="Arial"/>
          <w:color w:val="000000" w:themeColor="text1"/>
        </w:rPr>
        <w:t xml:space="preserve">he </w:t>
      </w:r>
      <w:proofErr w:type="spellStart"/>
      <w:r w:rsidR="00085320">
        <w:rPr>
          <w:rFonts w:ascii="Arial" w:hAnsi="Arial" w:cs="Arial"/>
          <w:color w:val="000000" w:themeColor="text1"/>
        </w:rPr>
        <w:t>Maisels</w:t>
      </w:r>
      <w:proofErr w:type="spellEnd"/>
      <w:r w:rsidR="00085320">
        <w:rPr>
          <w:rFonts w:ascii="Arial" w:hAnsi="Arial" w:cs="Arial"/>
          <w:color w:val="000000" w:themeColor="text1"/>
        </w:rPr>
        <w:t xml:space="preserve"> </w:t>
      </w:r>
      <w:r w:rsidR="00D67E6C">
        <w:rPr>
          <w:rFonts w:ascii="Arial" w:hAnsi="Arial" w:cs="Arial"/>
          <w:color w:val="000000" w:themeColor="text1"/>
        </w:rPr>
        <w:t>G</w:t>
      </w:r>
      <w:r w:rsidR="00085320">
        <w:rPr>
          <w:rFonts w:ascii="Arial" w:hAnsi="Arial" w:cs="Arial"/>
          <w:color w:val="000000" w:themeColor="text1"/>
        </w:rPr>
        <w:t>roup of Advocates.</w:t>
      </w:r>
    </w:p>
    <w:p w14:paraId="1916AFEA" w14:textId="32F1696C" w:rsidR="00D67E6C" w:rsidRDefault="00347C1F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Daniels</w:t>
      </w:r>
      <w:r w:rsidR="00D67E6C">
        <w:rPr>
          <w:rFonts w:ascii="Arial" w:hAnsi="Arial" w:cs="Arial"/>
          <w:color w:val="000000" w:themeColor="text1"/>
        </w:rPr>
        <w:t xml:space="preserve"> has litigated in various High Courts throughout South Africa on behalf of both commercial and private clients and has appeared as junior counsel in the Supreme Court of Appeal.</w:t>
      </w:r>
      <w:r w:rsidR="008D457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Daniels</w:t>
      </w:r>
      <w:r w:rsidR="008D457F">
        <w:rPr>
          <w:rFonts w:ascii="Arial" w:hAnsi="Arial" w:cs="Arial"/>
          <w:color w:val="000000" w:themeColor="text1"/>
        </w:rPr>
        <w:t xml:space="preserve"> has appeared in various arbitrations and has also been appointed to mediate disputes.</w:t>
      </w:r>
    </w:p>
    <w:p w14:paraId="33136248" w14:textId="77777777" w:rsidR="008D457F" w:rsidRDefault="008D457F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7446F1C1" w14:textId="0BB84182" w:rsidR="00085320" w:rsidRDefault="008D457F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Daniels has presented lectures to the medical profession on the POPI Act and the 2019 NHI Bill and has drafted reports</w:t>
      </w:r>
      <w:r w:rsidR="00347C1F">
        <w:rPr>
          <w:rFonts w:ascii="Arial" w:hAnsi="Arial" w:cs="Arial"/>
          <w:color w:val="000000" w:themeColor="text1"/>
        </w:rPr>
        <w:t xml:space="preserve"> for public institutions</w:t>
      </w:r>
      <w:r>
        <w:rPr>
          <w:rFonts w:ascii="Arial" w:hAnsi="Arial" w:cs="Arial"/>
          <w:color w:val="000000" w:themeColor="text1"/>
        </w:rPr>
        <w:t xml:space="preserve"> on Gender Based Violence Policies </w:t>
      </w:r>
      <w:r w:rsidR="00347C1F">
        <w:rPr>
          <w:rFonts w:ascii="Arial" w:hAnsi="Arial" w:cs="Arial"/>
          <w:color w:val="000000" w:themeColor="text1"/>
        </w:rPr>
        <w:t xml:space="preserve">as well as </w:t>
      </w:r>
      <w:r>
        <w:rPr>
          <w:rFonts w:ascii="Arial" w:hAnsi="Arial" w:cs="Arial"/>
          <w:color w:val="000000" w:themeColor="text1"/>
        </w:rPr>
        <w:t xml:space="preserve"> Harassment</w:t>
      </w:r>
      <w:r w:rsidR="00347C1F">
        <w:rPr>
          <w:rFonts w:ascii="Arial" w:hAnsi="Arial" w:cs="Arial"/>
          <w:color w:val="000000" w:themeColor="text1"/>
        </w:rPr>
        <w:t xml:space="preserve"> in the workplace</w:t>
      </w:r>
      <w:r>
        <w:rPr>
          <w:rFonts w:ascii="Arial" w:hAnsi="Arial" w:cs="Arial"/>
          <w:color w:val="000000" w:themeColor="text1"/>
        </w:rPr>
        <w:t>.</w:t>
      </w:r>
    </w:p>
    <w:p w14:paraId="0A32987F" w14:textId="041F900D" w:rsidR="008D457F" w:rsidRDefault="008D457F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Daniels served on the Library Committee of the Johannesburg Bar Council in 2022.</w:t>
      </w:r>
    </w:p>
    <w:p w14:paraId="595EBA11" w14:textId="77777777" w:rsidR="001F7E69" w:rsidRDefault="001F7E69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D5D5F6B" w14:textId="49137811" w:rsidR="002E1935" w:rsidRPr="00085320" w:rsidRDefault="00493F52" w:rsidP="0008532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Email address: ndaniels@maisels.co.za</w:t>
      </w:r>
    </w:p>
    <w:sectPr w:rsidR="002E1935" w:rsidRPr="00085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32AF"/>
    <w:multiLevelType w:val="hybridMultilevel"/>
    <w:tmpl w:val="3438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12"/>
    <w:rsid w:val="00085320"/>
    <w:rsid w:val="001F7E69"/>
    <w:rsid w:val="00276537"/>
    <w:rsid w:val="002E1935"/>
    <w:rsid w:val="00347C1F"/>
    <w:rsid w:val="003722EE"/>
    <w:rsid w:val="00412F53"/>
    <w:rsid w:val="00493F52"/>
    <w:rsid w:val="004D3920"/>
    <w:rsid w:val="005D437B"/>
    <w:rsid w:val="005E4D76"/>
    <w:rsid w:val="00710EA8"/>
    <w:rsid w:val="00753E12"/>
    <w:rsid w:val="00757DF5"/>
    <w:rsid w:val="00806BA0"/>
    <w:rsid w:val="008D457F"/>
    <w:rsid w:val="009332D8"/>
    <w:rsid w:val="00AB088F"/>
    <w:rsid w:val="00D67E6C"/>
    <w:rsid w:val="00EE4DDC"/>
    <w:rsid w:val="00EE7CE5"/>
    <w:rsid w:val="00F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B0910B"/>
  <w15:chartTrackingRefBased/>
  <w15:docId w15:val="{826DF986-441A-6541-849E-71475CC6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 Daniels</dc:creator>
  <cp:keywords/>
  <dc:description/>
  <cp:lastModifiedBy>Nikola  Daniels</cp:lastModifiedBy>
  <cp:revision>12</cp:revision>
  <cp:lastPrinted>2023-03-12T13:39:00Z</cp:lastPrinted>
  <dcterms:created xsi:type="dcterms:W3CDTF">2023-02-27T15:21:00Z</dcterms:created>
  <dcterms:modified xsi:type="dcterms:W3CDTF">2023-03-12T13:40:00Z</dcterms:modified>
</cp:coreProperties>
</file>